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FE" w:rsidRDefault="002D64FE" w:rsidP="002D64FE">
      <w:pPr>
        <w:numPr>
          <w:ilvl w:val="0"/>
          <w:numId w:val="2"/>
        </w:numPr>
        <w:suppressAutoHyphens/>
        <w:spacing w:after="0" w:line="240" w:lineRule="auto"/>
        <w:jc w:val="both"/>
        <w:rPr>
          <w:rFonts w:ascii="Calibri" w:eastAsia="Calibri" w:hAnsi="Calibri" w:cs="Calibri"/>
          <w:b/>
          <w:sz w:val="24"/>
          <w:szCs w:val="24"/>
        </w:rPr>
      </w:pPr>
      <w:r>
        <w:rPr>
          <w:rFonts w:ascii="Calibri" w:eastAsia="Calibri" w:hAnsi="Calibri" w:cs="Calibri"/>
          <w:b/>
          <w:sz w:val="24"/>
          <w:szCs w:val="24"/>
          <w:u w:val="single"/>
        </w:rPr>
        <w:t>Conditions</w:t>
      </w:r>
    </w:p>
    <w:p w:rsidR="002D64FE" w:rsidRDefault="002D64FE" w:rsidP="002D64FE">
      <w:pPr>
        <w:spacing w:line="240" w:lineRule="auto"/>
        <w:jc w:val="both"/>
        <w:rPr>
          <w:rFonts w:ascii="Calibri" w:eastAsia="Calibri" w:hAnsi="Calibri" w:cs="Calibri"/>
          <w:sz w:val="24"/>
          <w:szCs w:val="24"/>
        </w:rPr>
      </w:pPr>
      <w:r>
        <w:rPr>
          <w:rFonts w:ascii="Calibri" w:eastAsia="Calibri" w:hAnsi="Calibri" w:cs="Calibri"/>
          <w:sz w:val="24"/>
          <w:szCs w:val="24"/>
        </w:rPr>
        <w:t>Les fonctionnaires titulaires des trois fonctions publiques, ou des établissements publics qui en dépendent peuvent demander un détachement dans l’éducation nationale à la double condition que les corps d'accueil et d'origine soient :</w:t>
      </w:r>
    </w:p>
    <w:p w:rsidR="002D64FE" w:rsidRDefault="002D64FE" w:rsidP="002D64FE">
      <w:pPr>
        <w:numPr>
          <w:ilvl w:val="0"/>
          <w:numId w:val="1"/>
        </w:numPr>
        <w:suppressAutoHyphens/>
        <w:spacing w:after="0" w:line="240" w:lineRule="auto"/>
        <w:jc w:val="both"/>
        <w:rPr>
          <w:rFonts w:ascii="Calibri" w:eastAsia="Calibri" w:hAnsi="Calibri" w:cs="Calibri"/>
          <w:sz w:val="24"/>
          <w:szCs w:val="24"/>
        </w:rPr>
      </w:pPr>
      <w:r>
        <w:rPr>
          <w:rFonts w:ascii="Calibri" w:eastAsia="Calibri" w:hAnsi="Calibri" w:cs="Calibri"/>
          <w:sz w:val="24"/>
          <w:szCs w:val="24"/>
        </w:rPr>
        <w:t xml:space="preserve">de catégorie A et de niveau comparable au regard des conditions de recrutement dans le corps (titres, diplômes, missions) ; </w:t>
      </w:r>
    </w:p>
    <w:p w:rsidR="002D64FE" w:rsidRDefault="002D64FE" w:rsidP="002D64FE">
      <w:pPr>
        <w:numPr>
          <w:ilvl w:val="0"/>
          <w:numId w:val="1"/>
        </w:numPr>
        <w:suppressAutoHyphens/>
        <w:spacing w:after="0" w:line="240" w:lineRule="auto"/>
        <w:jc w:val="both"/>
        <w:rPr>
          <w:rFonts w:ascii="Calibri" w:eastAsia="Calibri" w:hAnsi="Calibri" w:cs="Calibri"/>
          <w:sz w:val="24"/>
          <w:szCs w:val="24"/>
        </w:rPr>
      </w:pPr>
      <w:r>
        <w:rPr>
          <w:rFonts w:ascii="Calibri" w:eastAsia="Calibri" w:hAnsi="Calibri" w:cs="Calibri"/>
          <w:sz w:val="24"/>
          <w:szCs w:val="24"/>
        </w:rPr>
        <w:t>les candidat.es au détachement doivent par ailleurs être titulaires des diplômes ci-dessous au 1</w:t>
      </w:r>
      <w:r>
        <w:rPr>
          <w:rFonts w:ascii="Calibri" w:eastAsia="Calibri" w:hAnsi="Calibri" w:cs="Calibri"/>
          <w:sz w:val="24"/>
          <w:szCs w:val="24"/>
          <w:vertAlign w:val="superscript"/>
        </w:rPr>
        <w:t>er</w:t>
      </w:r>
      <w:r>
        <w:rPr>
          <w:rFonts w:ascii="Calibri" w:eastAsia="Calibri" w:hAnsi="Calibri" w:cs="Calibri"/>
          <w:sz w:val="24"/>
          <w:szCs w:val="24"/>
        </w:rPr>
        <w:t xml:space="preserve"> septembre 2023:</w:t>
      </w:r>
    </w:p>
    <w:tbl>
      <w:tblPr>
        <w:tblW w:w="10754" w:type="dxa"/>
        <w:tblInd w:w="-308" w:type="dxa"/>
        <w:tblLayout w:type="fixed"/>
        <w:tblCellMar>
          <w:top w:w="100" w:type="dxa"/>
          <w:left w:w="100" w:type="dxa"/>
          <w:bottom w:w="100" w:type="dxa"/>
          <w:right w:w="100" w:type="dxa"/>
        </w:tblCellMar>
        <w:tblLook w:val="0600"/>
      </w:tblPr>
      <w:tblGrid>
        <w:gridCol w:w="1410"/>
        <w:gridCol w:w="1140"/>
        <w:gridCol w:w="4103"/>
        <w:gridCol w:w="4101"/>
      </w:tblGrid>
      <w:tr w:rsidR="002D64FE" w:rsidTr="00D54019">
        <w:trPr>
          <w:trHeight w:val="1640"/>
        </w:trPr>
        <w:tc>
          <w:tcPr>
            <w:tcW w:w="2549" w:type="dxa"/>
            <w:gridSpan w:val="2"/>
            <w:tcBorders>
              <w:bottom w:val="single" w:sz="8" w:space="0" w:color="000000"/>
              <w:right w:val="single" w:sz="8" w:space="0" w:color="000000"/>
            </w:tcBorders>
            <w:shd w:val="clear" w:color="auto" w:fill="auto"/>
          </w:tcPr>
          <w:p w:rsidR="002D64FE" w:rsidRDefault="002D64FE" w:rsidP="00D54019">
            <w:pPr>
              <w:widowControl w:val="0"/>
              <w:rPr>
                <w:rFonts w:ascii="Calibri" w:eastAsia="Calibri" w:hAnsi="Calibri" w:cs="Calibri"/>
                <w:b/>
                <w:sz w:val="24"/>
                <w:szCs w:val="24"/>
              </w:rPr>
            </w:pPr>
          </w:p>
        </w:tc>
        <w:tc>
          <w:tcPr>
            <w:tcW w:w="4103" w:type="dxa"/>
            <w:tcBorders>
              <w:top w:val="single" w:sz="8" w:space="0" w:color="000000"/>
              <w:left w:val="single" w:sz="8" w:space="0" w:color="000000"/>
              <w:bottom w:val="single" w:sz="8" w:space="0" w:color="000000"/>
              <w:right w:val="single" w:sz="8" w:space="0" w:color="000000"/>
            </w:tcBorders>
            <w:tcMar>
              <w:left w:w="80" w:type="dxa"/>
              <w:right w:w="80" w:type="dxa"/>
            </w:tcMar>
          </w:tcPr>
          <w:p w:rsidR="002D64FE" w:rsidRDefault="002D64FE" w:rsidP="00D54019">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Personnels enseignants et d'éducation titulaires relevant du ministère de l'Éducation nationale, de la Jeunesse et des Sports</w:t>
            </w:r>
          </w:p>
          <w:p w:rsidR="002D64FE" w:rsidRDefault="002D64FE" w:rsidP="00D54019">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(art. 61 du décret n° 2013-768 du 23 août 2013 relatif au recrutement et à la formation initiale de certains personnels enseignants, d'éducation et d'orientation relevant du MENJS)</w:t>
            </w:r>
          </w:p>
        </w:tc>
        <w:tc>
          <w:tcPr>
            <w:tcW w:w="4101"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b/>
                <w:sz w:val="24"/>
                <w:szCs w:val="24"/>
              </w:rPr>
            </w:pPr>
            <w:r>
              <w:rPr>
                <w:rFonts w:ascii="Calibri" w:eastAsia="Calibri" w:hAnsi="Calibri" w:cs="Calibri"/>
                <w:b/>
                <w:sz w:val="24"/>
                <w:szCs w:val="24"/>
              </w:rPr>
              <w:t>Autres Fonctionnaires titulaires de Catégorie A (dont ressortissants de l'UE)</w:t>
            </w:r>
          </w:p>
        </w:tc>
      </w:tr>
      <w:tr w:rsidR="002D64FE" w:rsidTr="00D54019">
        <w:trPr>
          <w:trHeight w:val="785"/>
        </w:trPr>
        <w:tc>
          <w:tcPr>
            <w:tcW w:w="1409" w:type="dxa"/>
            <w:vMerge w:val="restart"/>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spacing w:line="240" w:lineRule="auto"/>
              <w:ind w:left="113" w:right="113"/>
              <w:jc w:val="center"/>
              <w:rPr>
                <w:rFonts w:ascii="Calibri" w:eastAsia="Calibri" w:hAnsi="Calibri" w:cs="Calibri"/>
                <w:b/>
                <w:sz w:val="24"/>
                <w:szCs w:val="24"/>
              </w:rPr>
            </w:pPr>
            <w:r>
              <w:rPr>
                <w:rFonts w:ascii="Calibri" w:eastAsia="Calibri" w:hAnsi="Calibri" w:cs="Calibri"/>
                <w:b/>
                <w:sz w:val="24"/>
                <w:szCs w:val="24"/>
                <w:u w:val="single"/>
              </w:rPr>
              <w:t>Corps d'accueil</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spacing w:line="240" w:lineRule="auto"/>
              <w:ind w:left="60"/>
              <w:jc w:val="center"/>
              <w:rPr>
                <w:rFonts w:ascii="Calibri" w:eastAsia="Calibri" w:hAnsi="Calibri" w:cs="Calibri"/>
                <w:sz w:val="24"/>
                <w:szCs w:val="24"/>
              </w:rPr>
            </w:pPr>
            <w:r>
              <w:rPr>
                <w:rFonts w:ascii="Calibri" w:eastAsia="Calibri" w:hAnsi="Calibri" w:cs="Calibri"/>
                <w:b/>
                <w:sz w:val="24"/>
                <w:szCs w:val="24"/>
              </w:rPr>
              <w:t>Prof. des écoles</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both"/>
              <w:rPr>
                <w:rFonts w:ascii="Calibri" w:eastAsia="Calibri" w:hAnsi="Calibri" w:cs="Calibri"/>
                <w:sz w:val="24"/>
                <w:szCs w:val="24"/>
              </w:rPr>
            </w:pPr>
            <w:r>
              <w:rPr>
                <w:rFonts w:ascii="Calibri" w:eastAsia="Calibri" w:hAnsi="Calibri" w:cs="Calibri"/>
                <w:sz w:val="24"/>
                <w:szCs w:val="24"/>
              </w:rPr>
              <w:t>Licence ou équivalent + qualifications en natation et en secourisme</w:t>
            </w:r>
          </w:p>
        </w:tc>
        <w:tc>
          <w:tcPr>
            <w:tcW w:w="4101"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both"/>
              <w:rPr>
                <w:rFonts w:ascii="Calibri" w:eastAsia="Calibri" w:hAnsi="Calibri" w:cs="Calibri"/>
                <w:sz w:val="24"/>
                <w:szCs w:val="24"/>
              </w:rPr>
            </w:pPr>
            <w:r>
              <w:rPr>
                <w:rFonts w:ascii="Calibri" w:eastAsia="Calibri" w:hAnsi="Calibri" w:cs="Calibri"/>
                <w:sz w:val="24"/>
                <w:szCs w:val="24"/>
              </w:rPr>
              <w:t>Master 2 ou équivalent + qualifications en natation et en secourisme</w:t>
            </w:r>
          </w:p>
        </w:tc>
      </w:tr>
      <w:tr w:rsidR="002D64FE" w:rsidTr="00D54019">
        <w:trPr>
          <w:trHeight w:val="500"/>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sz w:val="24"/>
                <w:szCs w:val="24"/>
              </w:rPr>
            </w:pPr>
            <w:r>
              <w:rPr>
                <w:rFonts w:ascii="Calibri" w:eastAsia="Calibri" w:hAnsi="Calibri" w:cs="Calibri"/>
                <w:b/>
                <w:sz w:val="24"/>
                <w:szCs w:val="24"/>
              </w:rPr>
              <w:t>Prof. agrégés</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Accès impossible au corps par détachement</w:t>
            </w:r>
          </w:p>
        </w:tc>
        <w:tc>
          <w:tcPr>
            <w:tcW w:w="4101"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Master 2 ou équivalent</w:t>
            </w:r>
          </w:p>
          <w:p w:rsidR="002D64FE" w:rsidRDefault="002D64FE" w:rsidP="00D540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qualifications en sauvetage aquatique et en secourisme pour l'EPS*</w:t>
            </w:r>
          </w:p>
          <w:p w:rsidR="002D64FE" w:rsidRDefault="002D64FE" w:rsidP="00D54019">
            <w:pPr>
              <w:widowControl w:val="0"/>
              <w:spacing w:line="240" w:lineRule="auto"/>
              <w:jc w:val="center"/>
              <w:rPr>
                <w:rFonts w:ascii="Calibri" w:eastAsia="Calibri" w:hAnsi="Calibri" w:cs="Calibri"/>
                <w:sz w:val="24"/>
                <w:szCs w:val="24"/>
              </w:rPr>
            </w:pPr>
          </w:p>
        </w:tc>
      </w:tr>
      <w:tr w:rsidR="002D64FE" w:rsidTr="00D54019">
        <w:trPr>
          <w:trHeight w:val="500"/>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sz w:val="24"/>
                <w:szCs w:val="24"/>
              </w:rPr>
            </w:pPr>
            <w:r>
              <w:rPr>
                <w:rFonts w:ascii="Calibri" w:eastAsia="Calibri" w:hAnsi="Calibri" w:cs="Calibri"/>
                <w:b/>
                <w:sz w:val="24"/>
                <w:szCs w:val="24"/>
              </w:rPr>
              <w:t>Prof. certifiés</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Licence ou équivalent</w:t>
            </w:r>
          </w:p>
        </w:tc>
        <w:tc>
          <w:tcPr>
            <w:tcW w:w="4101"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Master 2 ou équivalent</w:t>
            </w:r>
          </w:p>
        </w:tc>
      </w:tr>
      <w:tr w:rsidR="002D64FE" w:rsidTr="00D54019">
        <w:trPr>
          <w:trHeight w:val="241"/>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b/>
                <w:sz w:val="24"/>
                <w:szCs w:val="24"/>
              </w:rPr>
            </w:pPr>
            <w:r>
              <w:rPr>
                <w:rFonts w:ascii="Calibri" w:eastAsia="Calibri" w:hAnsi="Calibri" w:cs="Calibri"/>
                <w:b/>
                <w:sz w:val="24"/>
                <w:szCs w:val="24"/>
              </w:rPr>
              <w:t>PLP</w:t>
            </w:r>
          </w:p>
        </w:tc>
        <w:tc>
          <w:tcPr>
            <w:tcW w:w="8204" w:type="dxa"/>
            <w:gridSpan w:val="2"/>
            <w:tcBorders>
              <w:top w:val="single" w:sz="8" w:space="0" w:color="000000"/>
              <w:left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b/>
                <w:sz w:val="24"/>
                <w:szCs w:val="24"/>
              </w:rPr>
            </w:pPr>
            <w:r>
              <w:rPr>
                <w:rFonts w:ascii="Calibri" w:eastAsia="Calibri" w:hAnsi="Calibri" w:cs="Calibri"/>
                <w:b/>
                <w:sz w:val="24"/>
                <w:szCs w:val="24"/>
              </w:rPr>
              <w:t>Pour l'enseignement général</w:t>
            </w:r>
            <w:r>
              <w:rPr>
                <w:rFonts w:ascii="Calibri" w:eastAsia="Calibri" w:hAnsi="Calibri" w:cs="Calibri"/>
                <w:sz w:val="24"/>
                <w:szCs w:val="24"/>
              </w:rPr>
              <w:t xml:space="preserve"> :</w:t>
            </w:r>
          </w:p>
        </w:tc>
      </w:tr>
      <w:tr w:rsidR="002D64FE" w:rsidTr="00D54019">
        <w:trPr>
          <w:trHeight w:val="349"/>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b/>
                <w:sz w:val="24"/>
                <w:szCs w:val="24"/>
              </w:rPr>
            </w:pPr>
          </w:p>
        </w:tc>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rPr>
                <w:rFonts w:ascii="Calibri" w:eastAsia="Calibri" w:hAnsi="Calibri" w:cs="Calibri"/>
                <w:b/>
                <w:sz w:val="24"/>
                <w:szCs w:val="24"/>
              </w:rPr>
            </w:pPr>
          </w:p>
        </w:tc>
        <w:tc>
          <w:tcPr>
            <w:tcW w:w="4103" w:type="dxa"/>
            <w:tcBorders>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licence ou équivalent.</w:t>
            </w:r>
          </w:p>
          <w:p w:rsidR="002D64FE" w:rsidRDefault="002D64FE" w:rsidP="00D54019">
            <w:pPr>
              <w:widowControl w:val="0"/>
              <w:spacing w:line="240" w:lineRule="auto"/>
              <w:ind w:left="60"/>
              <w:rPr>
                <w:rFonts w:ascii="Calibri" w:eastAsia="Calibri" w:hAnsi="Calibri" w:cs="Calibri"/>
                <w:sz w:val="24"/>
                <w:szCs w:val="24"/>
              </w:rPr>
            </w:pPr>
          </w:p>
        </w:tc>
        <w:tc>
          <w:tcPr>
            <w:tcW w:w="4101" w:type="dxa"/>
            <w:tcBorders>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Master 2 ou équivalent.</w:t>
            </w:r>
          </w:p>
        </w:tc>
      </w:tr>
      <w:tr w:rsidR="002D64FE" w:rsidTr="00D54019">
        <w:trPr>
          <w:trHeight w:val="287"/>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rPr>
                <w:rFonts w:ascii="Calibri" w:eastAsia="Calibri" w:hAnsi="Calibri" w:cs="Calibri"/>
                <w:sz w:val="24"/>
                <w:szCs w:val="24"/>
              </w:rPr>
            </w:pPr>
          </w:p>
        </w:tc>
        <w:tc>
          <w:tcPr>
            <w:tcW w:w="8204" w:type="dxa"/>
            <w:gridSpan w:val="2"/>
            <w:tcBorders>
              <w:top w:val="single" w:sz="8" w:space="0" w:color="000000"/>
              <w:left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sz w:val="24"/>
                <w:szCs w:val="24"/>
              </w:rPr>
            </w:pPr>
            <w:r>
              <w:rPr>
                <w:rFonts w:ascii="Calibri" w:eastAsia="Calibri" w:hAnsi="Calibri" w:cs="Calibri"/>
                <w:b/>
                <w:sz w:val="24"/>
                <w:szCs w:val="24"/>
              </w:rPr>
              <w:t>Pour les spécialités professionnelles :</w:t>
            </w:r>
          </w:p>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 xml:space="preserve">diplôme de niveau 5 (Bac + 2) + 5 ans de pratique professionnelle dans la discipline concernée </w:t>
            </w:r>
            <w:r>
              <w:rPr>
                <w:rFonts w:ascii="Calibri" w:eastAsia="Calibri" w:hAnsi="Calibri" w:cs="Calibri"/>
                <w:b/>
                <w:sz w:val="24"/>
                <w:szCs w:val="24"/>
              </w:rPr>
              <w:t>ou,</w:t>
            </w:r>
            <w:r>
              <w:rPr>
                <w:rFonts w:ascii="Calibri" w:eastAsia="Calibri" w:hAnsi="Calibri" w:cs="Calibri"/>
                <w:sz w:val="24"/>
                <w:szCs w:val="24"/>
              </w:rPr>
              <w:t xml:space="preserve"> pour les spécialités où il n'existe pas de diplôme supérieur au niveau 4, diplôme de niveau IV (Bac) + 7 ans de pratique professionnelle dans les spécialités</w:t>
            </w:r>
          </w:p>
        </w:tc>
      </w:tr>
      <w:tr w:rsidR="002D64FE" w:rsidTr="00D54019">
        <w:trPr>
          <w:trHeight w:val="920"/>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sz w:val="24"/>
                <w:szCs w:val="24"/>
              </w:rPr>
            </w:pPr>
            <w:r>
              <w:rPr>
                <w:rFonts w:ascii="Calibri" w:eastAsia="Calibri" w:hAnsi="Calibri" w:cs="Calibri"/>
                <w:b/>
                <w:sz w:val="24"/>
                <w:szCs w:val="24"/>
              </w:rPr>
              <w:t>Prof. d'EPS</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 xml:space="preserve">*Licence </w:t>
            </w:r>
            <w:proofErr w:type="spellStart"/>
            <w:r>
              <w:rPr>
                <w:rFonts w:ascii="Calibri" w:eastAsia="Calibri" w:hAnsi="Calibri" w:cs="Calibri"/>
                <w:sz w:val="24"/>
                <w:szCs w:val="24"/>
              </w:rPr>
              <w:t>Staps</w:t>
            </w:r>
            <w:bookmarkStart w:id="0" w:name="_GoBack"/>
            <w:bookmarkEnd w:id="0"/>
            <w:proofErr w:type="spellEnd"/>
            <w:r>
              <w:rPr>
                <w:rFonts w:ascii="Calibri" w:eastAsia="Calibri" w:hAnsi="Calibri" w:cs="Calibri"/>
                <w:sz w:val="24"/>
                <w:szCs w:val="24"/>
              </w:rPr>
              <w:t xml:space="preserve"> ou équivalent + qualifications en sauvetage aquatique et en secourisme*</w:t>
            </w:r>
          </w:p>
        </w:tc>
        <w:tc>
          <w:tcPr>
            <w:tcW w:w="4101"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 xml:space="preserve">Master 2 ou équivalent + licence </w:t>
            </w:r>
            <w:proofErr w:type="spellStart"/>
            <w:r>
              <w:rPr>
                <w:rFonts w:ascii="Calibri" w:eastAsia="Calibri" w:hAnsi="Calibri" w:cs="Calibri"/>
                <w:sz w:val="24"/>
                <w:szCs w:val="24"/>
              </w:rPr>
              <w:t>Staps</w:t>
            </w:r>
            <w:proofErr w:type="spellEnd"/>
            <w:r>
              <w:rPr>
                <w:rFonts w:ascii="Calibri" w:eastAsia="Calibri" w:hAnsi="Calibri" w:cs="Calibri"/>
                <w:sz w:val="24"/>
                <w:szCs w:val="24"/>
              </w:rPr>
              <w:t xml:space="preserve"> ou équivalent + qualifications en sauvetage aquatique et en secourisme</w:t>
            </w:r>
          </w:p>
        </w:tc>
      </w:tr>
      <w:tr w:rsidR="002D64FE" w:rsidTr="00D54019">
        <w:trPr>
          <w:trHeight w:val="500"/>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center"/>
              <w:rPr>
                <w:rFonts w:ascii="Calibri" w:eastAsia="Calibri" w:hAnsi="Calibri" w:cs="Calibri"/>
                <w:sz w:val="24"/>
                <w:szCs w:val="24"/>
              </w:rPr>
            </w:pPr>
            <w:r>
              <w:rPr>
                <w:rFonts w:ascii="Calibri" w:eastAsia="Calibri" w:hAnsi="Calibri" w:cs="Calibri"/>
                <w:b/>
                <w:sz w:val="24"/>
                <w:szCs w:val="24"/>
              </w:rPr>
              <w:t>CPE</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Licence ou équivalent.</w:t>
            </w:r>
          </w:p>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Aucune condition de titre ou diplôme n'est exigée pour les professeurs de lycée professionnel</w:t>
            </w:r>
          </w:p>
        </w:tc>
        <w:tc>
          <w:tcPr>
            <w:tcW w:w="4101"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Master 2 ou équivalent</w:t>
            </w:r>
          </w:p>
        </w:tc>
      </w:tr>
      <w:tr w:rsidR="002D64FE" w:rsidTr="00D54019">
        <w:trPr>
          <w:trHeight w:val="855"/>
        </w:trPr>
        <w:tc>
          <w:tcPr>
            <w:tcW w:w="1409" w:type="dxa"/>
            <w:vMerge/>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vAlign w:val="center"/>
          </w:tcPr>
          <w:p w:rsidR="002D64FE" w:rsidRDefault="002D64FE" w:rsidP="00D54019">
            <w:pPr>
              <w:widowControl w:val="0"/>
              <w:rPr>
                <w:rFonts w:ascii="Calibri" w:eastAsia="Calibri" w:hAnsi="Calibri" w:cs="Calibri"/>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jc w:val="both"/>
              <w:rPr>
                <w:rFonts w:ascii="Calibri" w:eastAsia="Calibri" w:hAnsi="Calibri" w:cs="Calibri"/>
                <w:sz w:val="24"/>
                <w:szCs w:val="24"/>
              </w:rPr>
            </w:pPr>
            <w:proofErr w:type="spellStart"/>
            <w:r>
              <w:rPr>
                <w:rFonts w:ascii="Calibri" w:eastAsia="Calibri" w:hAnsi="Calibri" w:cs="Calibri"/>
                <w:b/>
                <w:sz w:val="24"/>
                <w:szCs w:val="24"/>
              </w:rPr>
              <w:t>PsyEN</w:t>
            </w:r>
            <w:proofErr w:type="spellEnd"/>
          </w:p>
        </w:tc>
        <w:tc>
          <w:tcPr>
            <w:tcW w:w="8204" w:type="dxa"/>
            <w:gridSpan w:val="2"/>
            <w:tcBorders>
              <w:top w:val="single" w:sz="8" w:space="0" w:color="000000"/>
              <w:left w:val="single" w:sz="8" w:space="0" w:color="000000"/>
              <w:bottom w:val="single" w:sz="8" w:space="0" w:color="000000"/>
              <w:right w:val="single" w:sz="8" w:space="0" w:color="000000"/>
            </w:tcBorders>
            <w:shd w:val="clear" w:color="auto" w:fill="auto"/>
            <w:tcMar>
              <w:left w:w="80" w:type="dxa"/>
              <w:right w:w="80" w:type="dxa"/>
            </w:tcMar>
          </w:tcPr>
          <w:p w:rsidR="002D64FE" w:rsidRDefault="002D64FE" w:rsidP="00D54019">
            <w:pPr>
              <w:widowControl w:val="0"/>
              <w:spacing w:line="240" w:lineRule="auto"/>
              <w:ind w:left="60"/>
              <w:rPr>
                <w:rFonts w:ascii="Calibri" w:eastAsia="Calibri" w:hAnsi="Calibri" w:cs="Calibri"/>
                <w:sz w:val="24"/>
                <w:szCs w:val="24"/>
              </w:rPr>
            </w:pPr>
            <w:r>
              <w:rPr>
                <w:rFonts w:ascii="Calibri" w:eastAsia="Calibri" w:hAnsi="Calibri" w:cs="Calibri"/>
                <w:sz w:val="24"/>
                <w:szCs w:val="24"/>
              </w:rPr>
              <w:t>Licence en psychologie + Master 2 de psychologie comportant un stage professionnel de 500 heures (14 semaines) ou diplôme dont la liste figure dans le décret n° 90-255 du 22 mars 1990</w:t>
            </w:r>
          </w:p>
        </w:tc>
      </w:tr>
    </w:tbl>
    <w:p w:rsidR="002D64FE" w:rsidRDefault="002D64FE" w:rsidP="002D64FE">
      <w:pPr>
        <w:spacing w:line="240" w:lineRule="auto"/>
        <w:jc w:val="both"/>
        <w:rPr>
          <w:rFonts w:ascii="Calibri" w:eastAsia="Calibri" w:hAnsi="Calibri" w:cs="Calibri"/>
          <w:sz w:val="24"/>
          <w:szCs w:val="24"/>
        </w:rPr>
      </w:pPr>
      <w:r>
        <w:rPr>
          <w:rFonts w:ascii="Calibri" w:eastAsia="Calibri" w:hAnsi="Calibri" w:cs="Calibri"/>
          <w:sz w:val="24"/>
          <w:szCs w:val="24"/>
        </w:rPr>
        <w:t xml:space="preserve">Les candidat.es titulaires d'un diplôme obtenu à l'étranger doivent fournir une attestation de comparabilité délivrée par France Éducation International (cf. 3 de la présente note de service). </w:t>
      </w:r>
    </w:p>
    <w:p w:rsidR="002D64FE" w:rsidRDefault="002D64FE" w:rsidP="002D64FE">
      <w:pPr>
        <w:spacing w:line="240" w:lineRule="auto"/>
        <w:jc w:val="both"/>
        <w:rPr>
          <w:rFonts w:ascii="Calibri" w:eastAsia="Calibri" w:hAnsi="Calibri" w:cs="Calibri"/>
          <w:sz w:val="24"/>
          <w:szCs w:val="24"/>
        </w:rPr>
      </w:pPr>
    </w:p>
    <w:p w:rsidR="002D64FE" w:rsidRDefault="002D64FE" w:rsidP="002D64FE">
      <w:pPr>
        <w:spacing w:line="240" w:lineRule="auto"/>
        <w:jc w:val="both"/>
        <w:rPr>
          <w:rFonts w:ascii="Calibri" w:eastAsia="Calibri" w:hAnsi="Calibri" w:cs="Calibri"/>
          <w:i/>
          <w:sz w:val="24"/>
          <w:szCs w:val="24"/>
        </w:rPr>
      </w:pPr>
      <w:r>
        <w:rPr>
          <w:rFonts w:ascii="Calibri" w:eastAsia="Calibri" w:hAnsi="Calibri" w:cs="Calibri"/>
          <w:i/>
          <w:sz w:val="24"/>
          <w:szCs w:val="24"/>
        </w:rPr>
        <w:t>* Arrêté du 12 février 2019 fixant les titres, diplômes, attestations ou qualifications équivalentes admis pour justifier des qualifications en sauvetage aquatique et en secourisme requises des personnels relevant du ministre chargé de l'éducation nationale et assurant l'enseignement de l'éducation physique et sportive dans le 2d degré</w:t>
      </w:r>
    </w:p>
    <w:p w:rsidR="002D64FE" w:rsidRDefault="002D64FE" w:rsidP="002D64FE">
      <w:pPr>
        <w:spacing w:line="240" w:lineRule="auto"/>
        <w:jc w:val="both"/>
        <w:rPr>
          <w:rFonts w:ascii="Calibri" w:eastAsia="Calibri" w:hAnsi="Calibri" w:cs="Calibri"/>
          <w:i/>
          <w:sz w:val="24"/>
          <w:szCs w:val="24"/>
        </w:rPr>
      </w:pPr>
    </w:p>
    <w:p w:rsidR="002D64FE" w:rsidRDefault="002D64FE" w:rsidP="002D64FE">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La note de service insiste sur le fait que certaines demandes de détachement doivent faire l’objet d’un « examen attentif de la part des recteurs et des IA-DASEN » : </w:t>
      </w:r>
    </w:p>
    <w:p w:rsidR="002D64FE" w:rsidRDefault="002D64FE" w:rsidP="002D64FE">
      <w:pPr>
        <w:numPr>
          <w:ilvl w:val="0"/>
          <w:numId w:val="3"/>
        </w:numPr>
        <w:suppressAutoHyphens/>
        <w:spacing w:after="0" w:line="240" w:lineRule="auto"/>
        <w:jc w:val="both"/>
        <w:rPr>
          <w:rFonts w:ascii="Calibri" w:eastAsia="Calibri" w:hAnsi="Calibri" w:cs="Calibri"/>
          <w:sz w:val="24"/>
          <w:szCs w:val="24"/>
        </w:rPr>
      </w:pPr>
      <w:r>
        <w:rPr>
          <w:rFonts w:ascii="Calibri" w:eastAsia="Calibri" w:hAnsi="Calibri" w:cs="Calibri"/>
          <w:sz w:val="24"/>
          <w:szCs w:val="24"/>
        </w:rPr>
        <w:t>les demandes qui s’inscrivent dans le cadre d’une reconversion professionnelle pour inaptitude aux fonctions ;</w:t>
      </w:r>
    </w:p>
    <w:p w:rsidR="002D64FE" w:rsidRDefault="002D64FE" w:rsidP="002D64FE">
      <w:pPr>
        <w:numPr>
          <w:ilvl w:val="0"/>
          <w:numId w:val="3"/>
        </w:numPr>
        <w:suppressAutoHyphens/>
        <w:spacing w:after="0" w:line="240" w:lineRule="auto"/>
        <w:jc w:val="both"/>
        <w:rPr>
          <w:rFonts w:ascii="Calibri" w:eastAsia="Calibri" w:hAnsi="Calibri" w:cs="Calibri"/>
          <w:sz w:val="24"/>
          <w:szCs w:val="24"/>
        </w:rPr>
      </w:pPr>
      <w:r>
        <w:rPr>
          <w:rFonts w:ascii="Calibri" w:eastAsia="Calibri" w:hAnsi="Calibri" w:cs="Calibri"/>
          <w:sz w:val="24"/>
          <w:szCs w:val="24"/>
        </w:rPr>
        <w:t>les demandes faites par les bénéficiaires de l’obligation d’emploi.</w:t>
      </w:r>
    </w:p>
    <w:p w:rsidR="00891C88" w:rsidRDefault="00891C88"/>
    <w:sectPr w:rsidR="00891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Noto Sans">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149"/>
    <w:multiLevelType w:val="multilevel"/>
    <w:tmpl w:val="A7725B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
    <w:nsid w:val="2BC437E1"/>
    <w:multiLevelType w:val="multilevel"/>
    <w:tmpl w:val="C3120FE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40D7301E"/>
    <w:multiLevelType w:val="multilevel"/>
    <w:tmpl w:val="65B8B2F0"/>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w:hAnsi="Noto Sans" w:cs="Noto San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D64FE"/>
    <w:rsid w:val="002D64FE"/>
    <w:rsid w:val="00891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2602</Characters>
  <Application>Microsoft Office Word</Application>
  <DocSecurity>0</DocSecurity>
  <Lines>21</Lines>
  <Paragraphs>6</Paragraphs>
  <ScaleCrop>false</ScaleCrop>
  <Company>Grizli777</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2023-12-18T10:25:00Z</dcterms:created>
  <dcterms:modified xsi:type="dcterms:W3CDTF">2023-12-18T10:25:00Z</dcterms:modified>
</cp:coreProperties>
</file>